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3F57386C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284B3A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284B3A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F0D34DC" w:rsidR="00BE355C" w:rsidRPr="00BE355C" w:rsidRDefault="00E77CE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E77CE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ПМ.05. </w:t>
      </w:r>
      <w:r w:rsidRPr="00E77CEB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должностям служащих "кассир"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2A29DA12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284B3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BC01C4E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2636"/>
      <w:r w:rsidR="003024BD" w:rsidRPr="003024BD">
        <w:rPr>
          <w:rFonts w:ascii="Times New Roman" w:hAnsi="Times New Roman" w:cs="Times New Roman"/>
          <w:bCs/>
          <w:caps/>
        </w:rPr>
        <w:t>«ПМ.05. Выполнение работ по одной или нескольким профессиям рабочих, должностям служащих "Кассир"»</w:t>
      </w:r>
      <w:r>
        <w:rPr>
          <w:rFonts w:ascii="Times New Roman" w:hAnsi="Times New Roman" w:cs="Times New Roman"/>
          <w:bCs/>
          <w:caps/>
        </w:rPr>
        <w:t xml:space="preserve"> </w:t>
      </w:r>
      <w:bookmarkEnd w:id="1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4CB0CC19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350BC1" w:rsidRPr="00350BC1">
        <w:rPr>
          <w:rFonts w:ascii="Times New Roman" w:hAnsi="Times New Roman" w:cs="Times New Roman"/>
        </w:rPr>
        <w:t>Гилева А.С.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60CBC60B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</w:t>
      </w:r>
      <w:r w:rsidR="0002790E">
        <w:t>учебной</w:t>
      </w:r>
      <w:r w:rsidRPr="00270329">
        <w:t xml:space="preserve"> практики профессионального модуля </w:t>
      </w:r>
      <w:r w:rsidR="00E06477">
        <w:rPr>
          <w:bCs/>
          <w:caps/>
        </w:rPr>
        <w:t>ПМ.0</w:t>
      </w:r>
      <w:r w:rsidR="0002790E">
        <w:rPr>
          <w:bCs/>
          <w:caps/>
        </w:rPr>
        <w:t>5</w:t>
      </w:r>
      <w:r w:rsidR="00E06477">
        <w:rPr>
          <w:bCs/>
          <w:caps/>
        </w:rPr>
        <w:t xml:space="preserve"> </w:t>
      </w:r>
      <w:r w:rsidR="0002790E" w:rsidRPr="0002790E">
        <w:rPr>
          <w:bCs/>
          <w:caps/>
        </w:rPr>
        <w:t>ВЫПОЛНЕНИЕ РАБОТ ПО ОДНОЙ ИЛИ НЕСКОЛЬКИМ ПРОФЕССИЯМ РАБОЧИХ, ДОЛЖНОСТЯМ СЛУЖАЩИХ "КАССИР"</w:t>
      </w:r>
      <w:r w:rsidR="0002790E">
        <w:rPr>
          <w:bCs/>
          <w:cap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460CB7">
        <w:t>,</w:t>
      </w:r>
      <w:r w:rsidRPr="00F4525E">
        <w:t xml:space="preserve"> </w:t>
      </w:r>
      <w:r w:rsidR="00460CB7" w:rsidRPr="00460CB7">
        <w:t xml:space="preserve">гуманитарных </w:t>
      </w:r>
      <w:r w:rsidRPr="00F4525E">
        <w:t>и социально-</w:t>
      </w:r>
      <w:r w:rsidR="00460CB7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2" w:name="_Hlk98324935"/>
      <w:bookmarkStart w:id="3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 w:rsidR="00284B3A">
        <w:rPr>
          <w:color w:val="000000"/>
          <w:kern w:val="28"/>
          <w:u w:val="single"/>
          <w:lang w:eastAsia="en-US"/>
        </w:rPr>
        <w:t>16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 w:rsidR="00284B3A">
        <w:rPr>
          <w:color w:val="000000"/>
          <w:kern w:val="28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6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6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69ED426F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777D79"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777D79">
        <w:rPr>
          <w:sz w:val="24"/>
          <w:szCs w:val="24"/>
        </w:rPr>
        <w:t>В</w:t>
      </w:r>
      <w:r w:rsidR="00777D79"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1606FC89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F7557F">
        <w:rPr>
          <w:sz w:val="24"/>
          <w:szCs w:val="24"/>
        </w:rPr>
        <w:t>5</w:t>
      </w:r>
      <w:r w:rsidR="00A20413">
        <w:rPr>
          <w:sz w:val="24"/>
          <w:szCs w:val="24"/>
        </w:rPr>
        <w:t xml:space="preserve">.01 </w:t>
      </w:r>
      <w:r w:rsidR="00F7557F">
        <w:rPr>
          <w:sz w:val="24"/>
          <w:szCs w:val="24"/>
        </w:rPr>
        <w:t>Ведение кассовых операций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8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8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C55CA5E" w14:textId="77777777" w:rsidR="00F7557F" w:rsidRPr="00F7557F" w:rsidRDefault="00F7557F" w:rsidP="00F7557F">
      <w:pPr>
        <w:pStyle w:val="af4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F7557F">
        <w:rPr>
          <w:sz w:val="24"/>
          <w:szCs w:val="24"/>
        </w:rPr>
        <w:t>осуществлении и документировании хозяйственных операций по приходу и расходу денежных средств в кассе.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44D360C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принимать и оформлять первичные документы по кассовым операциям; </w:t>
      </w:r>
    </w:p>
    <w:p w14:paraId="7C35103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проверять наличие обязательных реквизитов в первичных документах по кассе; </w:t>
      </w:r>
    </w:p>
    <w:p w14:paraId="1ABC82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составлять кассовую отчетность; </w:t>
      </w:r>
    </w:p>
    <w:p w14:paraId="4CD4EAE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формальную проверку документов, проверку по существу, арифметическую проверку; </w:t>
      </w:r>
    </w:p>
    <w:p w14:paraId="1F43BD9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группировку первичных бухгалтерских документов по ряду признаков; </w:t>
      </w:r>
    </w:p>
    <w:p w14:paraId="04CDFDE4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осуществлять расчеты с подотчетными лицами, с персоналом по оплате труда; </w:t>
      </w:r>
    </w:p>
    <w:p w14:paraId="6D91BCB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безналичными формами расчетов; </w:t>
      </w:r>
    </w:p>
    <w:p w14:paraId="0B027F3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контрольно-кассовой техникой; </w:t>
      </w:r>
    </w:p>
    <w:p w14:paraId="79D84C9B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участие в проведении инвентаризации кассы;</w:t>
      </w:r>
    </w:p>
    <w:p w14:paraId="79FFC367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правила приёма, выдачи, учета и хранения денежных средств;</w:t>
      </w:r>
    </w:p>
    <w:p w14:paraId="63F8323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лимиты остатков кассовой наличности, установленной для организации;</w:t>
      </w:r>
    </w:p>
    <w:p w14:paraId="43AC36A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обеспечивать сохранность денежных средств;</w:t>
      </w:r>
    </w:p>
    <w:p w14:paraId="40BAC053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57710771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заполнять формы кассовых и банковых документов;</w:t>
      </w:r>
    </w:p>
    <w:p w14:paraId="26376B58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организовывать документооборот;</w:t>
      </w:r>
    </w:p>
    <w:p w14:paraId="371DDB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14:paraId="0F6836A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исправлять ошибки в первичных бухгалтерских документах;</w:t>
      </w:r>
    </w:p>
    <w:p w14:paraId="2C060E8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оформлять денежные и кассовые документы;</w:t>
      </w:r>
    </w:p>
    <w:p w14:paraId="7F67DA5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кассовую книгу;</w:t>
      </w:r>
    </w:p>
    <w:p w14:paraId="4E2FDCC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1D3669E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передавать денежные средства инкассаторам;</w:t>
      </w:r>
    </w:p>
    <w:p w14:paraId="4B8AB7E9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23BE476E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осуществлять подготовку ККТ различных видов к работе;</w:t>
      </w:r>
    </w:p>
    <w:p w14:paraId="55C6FC0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работать на ККТ различных видов;</w:t>
      </w:r>
    </w:p>
    <w:p w14:paraId="4DBEC9A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устранять мелкие неисправности при работе ККТ;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69AEC80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нормативно-правовые акты, положения и инструкции по ведению кассовых операций; </w:t>
      </w:r>
    </w:p>
    <w:p w14:paraId="006F921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14:paraId="5343460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формальную проверку документов, проверку по существу, арифметическую проверку; </w:t>
      </w:r>
    </w:p>
    <w:p w14:paraId="56E3638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14:paraId="6C6EDCB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таксировку и котировку первичных бухгалтерских документов; </w:t>
      </w:r>
    </w:p>
    <w:p w14:paraId="7415E657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правила ведения кассовой книги; </w:t>
      </w:r>
    </w:p>
    <w:p w14:paraId="073288A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расчетов с подотчетными лицами, с персоналом по оплате труда; </w:t>
      </w:r>
    </w:p>
    <w:p w14:paraId="38B20C1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порядок работы по безналичным расчетам; </w:t>
      </w:r>
    </w:p>
    <w:p w14:paraId="2185E35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работы с ККТ; </w:t>
      </w:r>
    </w:p>
    <w:p w14:paraId="28700B9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кассы;</w:t>
      </w:r>
    </w:p>
    <w:p w14:paraId="6D78E75B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оформление форм кассовых и банковских документов; </w:t>
      </w:r>
    </w:p>
    <w:p w14:paraId="52508FE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14:paraId="77ADAF3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ведения кассовой книги;</w:t>
      </w:r>
    </w:p>
    <w:p w14:paraId="5D28AFF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составления кассовой отчётности;</w:t>
      </w:r>
    </w:p>
    <w:p w14:paraId="7CF2A94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документы, регламентирующие применение ККТ;</w:t>
      </w:r>
    </w:p>
    <w:p w14:paraId="04543AB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типовые правила обслуживания эксплуатации ККТ и правила регистрации;</w:t>
      </w:r>
    </w:p>
    <w:p w14:paraId="2E5D747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классификацию устройства ККТ;</w:t>
      </w:r>
    </w:p>
    <w:p w14:paraId="524AE2D5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основные режимы ККТ;</w:t>
      </w:r>
    </w:p>
    <w:p w14:paraId="19E8C62C" w14:textId="14E73EB4" w:rsidR="005509A8" w:rsidRPr="007616DE" w:rsidRDefault="005509A8" w:rsidP="007616DE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особенности технического обслуживания ККТ.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60CB7" w14:paraId="09FF5348" w14:textId="77777777" w:rsidTr="00580D38">
        <w:tc>
          <w:tcPr>
            <w:tcW w:w="2143" w:type="dxa"/>
          </w:tcPr>
          <w:p w14:paraId="6BD12A22" w14:textId="60903135" w:rsidR="00460CB7" w:rsidRPr="00AD10E0" w:rsidRDefault="00460CB7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6.</w:t>
            </w:r>
          </w:p>
        </w:tc>
        <w:tc>
          <w:tcPr>
            <w:tcW w:w="7705" w:type="dxa"/>
          </w:tcPr>
          <w:p w14:paraId="524A5DDA" w14:textId="67A5DE8A" w:rsidR="00460CB7" w:rsidRPr="00C71FFF" w:rsidRDefault="00460CB7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B7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43197CF" w14:textId="602E73D5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11C229B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213250" w:rsidRPr="00213250">
              <w:rPr>
                <w:rStyle w:val="26"/>
                <w:b/>
                <w:bCs/>
                <w:sz w:val="22"/>
                <w:szCs w:val="22"/>
              </w:rPr>
              <w:t>Выполнение работ по профессии рабочих, должностей служащих «Кассир</w:t>
            </w:r>
            <w:r w:rsidR="00213250">
              <w:rPr>
                <w:rStyle w:val="26"/>
                <w:b/>
                <w:bCs/>
                <w:sz w:val="22"/>
                <w:szCs w:val="22"/>
              </w:rPr>
              <w:t>»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4C1C137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9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3549DCE" w:rsidR="00BD7A76" w:rsidRPr="00BD7A76" w:rsidRDefault="00213250" w:rsidP="00213250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36798B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0F175A4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Оформлять кассовые и банковские документы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A77784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08DC21F8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Вести кассовые книги, составлять кассовую отчетность</w:t>
            </w:r>
          </w:p>
        </w:tc>
      </w:tr>
    </w:tbl>
    <w:bookmarkEnd w:id="9"/>
    <w:p w14:paraId="4A5C6863" w14:textId="7A5700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25BA0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2B5C0DD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10"/>
    </w:p>
    <w:p w14:paraId="66214318" w14:textId="22A2638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460CB7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B25BA0">
        <w:rPr>
          <w:sz w:val="24"/>
          <w:szCs w:val="24"/>
        </w:rPr>
        <w:t>5</w:t>
      </w:r>
      <w:r w:rsidR="001E7B3B">
        <w:rPr>
          <w:sz w:val="24"/>
          <w:szCs w:val="24"/>
        </w:rPr>
        <w:t xml:space="preserve"> </w:t>
      </w:r>
      <w:r w:rsidR="00B25BA0" w:rsidRPr="00B25BA0">
        <w:rPr>
          <w:sz w:val="24"/>
          <w:szCs w:val="24"/>
        </w:rPr>
        <w:t>Выполнение работ по профессии рабочих, должностей служащих «Кассир</w:t>
      </w:r>
      <w:r w:rsidR="00B25BA0">
        <w:rPr>
          <w:sz w:val="24"/>
          <w:szCs w:val="24"/>
        </w:rPr>
        <w:t>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F30679">
        <w:trPr>
          <w:trHeight w:val="176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343FC149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B018D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B018DE" w:rsidRPr="00B018DE">
        <w:rPr>
          <w:b w:val="0"/>
          <w:sz w:val="24"/>
          <w:szCs w:val="24"/>
        </w:rPr>
        <w:t>Выполнение работ по профессии рабочих, должностей служащих «Кассир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2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345565A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r w:rsidR="003532B6"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 w:rsidR="003532B6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673AEA30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B018DE">
              <w:rPr>
                <w:sz w:val="20"/>
                <w:szCs w:val="20"/>
                <w:lang w:val="ru-RU"/>
              </w:rPr>
              <w:t>5.</w:t>
            </w:r>
            <w:r w:rsidRPr="007A76A6">
              <w:rPr>
                <w:sz w:val="20"/>
                <w:szCs w:val="20"/>
                <w:lang w:val="ru-RU"/>
              </w:rPr>
              <w:t xml:space="preserve"> </w:t>
            </w:r>
            <w:r w:rsidR="00B018DE" w:rsidRPr="00B018DE">
              <w:rPr>
                <w:sz w:val="20"/>
                <w:szCs w:val="20"/>
                <w:lang w:val="ru-RU"/>
              </w:rPr>
              <w:t>Выполнение работ по профессии рабочих, должностей служащих «Кассир</w:t>
            </w:r>
            <w:r w:rsidR="00B018DE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D28E79A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заполнение первичных документов по кассе;</w:t>
            </w:r>
          </w:p>
          <w:p w14:paraId="554A01B2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прием денежной наличности по приходным кассовым ордерам; выдача денежной наличности по расходным кассовым ордерам;</w:t>
            </w:r>
          </w:p>
          <w:p w14:paraId="132FE228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проверка наличия в первичных бухгалтерских документах обязательных реквизитов; </w:t>
            </w:r>
          </w:p>
          <w:p w14:paraId="1A883E50" w14:textId="73CED178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34620E">
              <w:rPr>
                <w:rFonts w:ascii="Times New Roman" w:hAnsi="Times New Roman"/>
                <w:bCs/>
                <w:lang w:val="ru-RU"/>
              </w:rPr>
              <w:t>формальная проверка документов, проверка по существу, арифметическая проверку</w:t>
            </w:r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14:paraId="77CB522F" w14:textId="4EC2EF80" w:rsidR="00983755" w:rsidRPr="00FB5C7E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147A0AAD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AE247B">
              <w:rPr>
                <w:sz w:val="20"/>
                <w:szCs w:val="20"/>
                <w:lang w:val="ru-RU"/>
              </w:rPr>
              <w:t>,</w:t>
            </w:r>
            <w:r w:rsidR="003532B6">
              <w:rPr>
                <w:sz w:val="20"/>
                <w:szCs w:val="20"/>
                <w:lang w:val="ru-RU"/>
              </w:rPr>
              <w:t xml:space="preserve"> </w:t>
            </w:r>
            <w:r w:rsidRPr="00AE247B">
              <w:rPr>
                <w:sz w:val="20"/>
                <w:szCs w:val="20"/>
                <w:lang w:val="ru-RU"/>
              </w:rPr>
              <w:t>ОК.9</w:t>
            </w:r>
          </w:p>
          <w:p w14:paraId="4E1CCE15" w14:textId="570C2EDD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 w:rsidR="003532B6">
              <w:rPr>
                <w:sz w:val="20"/>
                <w:szCs w:val="20"/>
                <w:lang w:val="ru-RU"/>
              </w:rPr>
              <w:t>5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 w:rsidR="003532B6">
              <w:rPr>
                <w:sz w:val="20"/>
                <w:szCs w:val="20"/>
                <w:lang w:val="ru-RU"/>
              </w:rPr>
              <w:t>5.3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5126CBC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372750BA" w14:textId="0A283DF0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проводить таксировку и контировку первичных бухгалтерских документов; заполнение учетных регистров;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0BB7054" w14:textId="57ECD220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0FE6EF27" w14:textId="41D1357C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4180A12C" w:rsidR="00983755" w:rsidRPr="00623232" w:rsidRDefault="0034620E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34620E">
              <w:rPr>
                <w:rFonts w:eastAsiaTheme="minorHAnsi" w:cstheme="minorBidi"/>
                <w:bCs/>
                <w:color w:val="000000"/>
                <w:lang w:val="ru-RU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134" w:type="dxa"/>
          </w:tcPr>
          <w:p w14:paraId="3CA2718B" w14:textId="4CDA22D5" w:rsidR="00983755" w:rsidRPr="008D35BF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2DA06D7C" w14:textId="1C9BDE6E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13469DEA" w14:textId="7E950051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B9968C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исправление ошибок в первичных бухгалтерских документах;</w:t>
            </w:r>
          </w:p>
          <w:p w14:paraId="17556C5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заполнение кассового отчета кассира;</w:t>
            </w:r>
          </w:p>
          <w:p w14:paraId="432A1B79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 xml:space="preserve">изучить порядок оформления операций по наличным и безналичным операциям; </w:t>
            </w:r>
          </w:p>
          <w:p w14:paraId="416CD0F1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организовать работу ККТ;</w:t>
            </w:r>
          </w:p>
          <w:p w14:paraId="4D28262B" w14:textId="06987B2E" w:rsidR="00983755" w:rsidRPr="0034620E" w:rsidRDefault="0034620E" w:rsidP="0034620E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34620E">
              <w:rPr>
                <w:sz w:val="24"/>
                <w:szCs w:val="24"/>
                <w:lang w:val="ru-RU"/>
              </w:rPr>
              <w:t>организовать проведение ревизии кассы экономического субъекта.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179A01A" w14:textId="7945E9D3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6104AA79" w14:textId="61FFECEB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3" w:name="bookmark13"/>
      <w:bookmarkEnd w:id="12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3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EED88D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3067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77777777" w:rsidR="009D2FCC" w:rsidRDefault="009D2FCC" w:rsidP="009D2F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7546B777" w14:textId="5826AFA3" w:rsidR="00F30679" w:rsidRPr="00F30679" w:rsidRDefault="00284B3A" w:rsidP="00F30679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3.2 </w:t>
      </w:r>
      <w:r w:rsidR="00F30679"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Информационное обеспечение обучения</w:t>
      </w:r>
    </w:p>
    <w:p w14:paraId="34F9553B" w14:textId="77777777" w:rsidR="00F30679" w:rsidRPr="00F30679" w:rsidRDefault="00F30679" w:rsidP="00F30679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5C477BCB" w14:textId="77777777" w:rsidR="00F30679" w:rsidRPr="00F30679" w:rsidRDefault="00F30679" w:rsidP="00F30679">
      <w:pPr>
        <w:widowControl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bookmark16"/>
      <w:bookmarkStart w:id="17" w:name="_Toc96001159"/>
      <w:bookmarkStart w:id="18" w:name="_Toc96025432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3D64FFE6" w14:textId="77777777" w:rsidR="00F30679" w:rsidRPr="00F30679" w:rsidRDefault="00F30679" w:rsidP="00F3067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  <w:bookmarkEnd w:id="18"/>
    </w:p>
    <w:p w14:paraId="66B9FCA2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081DCA24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9E08125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4C75FE1" w14:textId="77777777" w:rsidR="00F30679" w:rsidRPr="00F30679" w:rsidRDefault="00F30679" w:rsidP="00F30679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F30679">
        <w:rPr>
          <w:rFonts w:ascii="Times New Roman" w:eastAsia="Times New Roman" w:hAnsi="Times New Roman" w:cs="Times New Roman"/>
          <w:color w:val="auto"/>
        </w:rPr>
        <w:t>.</w:t>
      </w:r>
    </w:p>
    <w:p w14:paraId="57111232" w14:textId="77777777" w:rsidR="009D2FCC" w:rsidRPr="004C2F6C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4C2F6C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9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9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823C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0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0A53DC34" w:rsidR="00623232" w:rsidRPr="00823CC9" w:rsidRDefault="00823CC9" w:rsidP="00823CC9">
            <w:pPr>
              <w:pStyle w:val="af4"/>
              <w:widowControl w:val="0"/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 w:cstheme="minorBidi"/>
                <w:color w:val="000000"/>
                <w:sz w:val="20"/>
                <w:szCs w:val="20"/>
              </w:rPr>
            </w:pPr>
            <w:r w:rsidRPr="00823CC9">
              <w:rPr>
                <w:rFonts w:eastAsiaTheme="minorHAnsi" w:cstheme="minorBidi"/>
                <w:color w:val="000000"/>
                <w:sz w:val="20"/>
                <w:szCs w:val="20"/>
              </w:rPr>
              <w:t>осуществлении и документировании хозяйственных операций по приходу и расходу денежных средств в кассе.</w:t>
            </w:r>
            <w:bookmarkEnd w:id="20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CE6CAE">
            <w:pPr>
              <w:tabs>
                <w:tab w:val="left" w:pos="3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1" w:name="_Hlk155966843"/>
            <w:bookmarkStart w:id="22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5EF18A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оформлять первичные документы по кассовым операциям; </w:t>
            </w:r>
          </w:p>
          <w:p w14:paraId="4091D3C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проверять наличие обязательных реквизитов в первичных документах по кассе; </w:t>
            </w:r>
          </w:p>
          <w:p w14:paraId="35763E9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кассовую отчетность; </w:t>
            </w:r>
          </w:p>
          <w:p w14:paraId="144C74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541C968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67C793B4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расчеты с подотчетными лицами, с персоналом по оплате труда; </w:t>
            </w:r>
          </w:p>
          <w:p w14:paraId="6E7A5859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безналичными формами расчетов; </w:t>
            </w:r>
          </w:p>
          <w:p w14:paraId="669C471D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контрольно-кассовой техникой; </w:t>
            </w:r>
          </w:p>
          <w:p w14:paraId="14611C3F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проведении инвентаризации кассы;</w:t>
            </w:r>
          </w:p>
          <w:p w14:paraId="6C85684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правила приёма, выдачи, учета и хранения денежных средств;</w:t>
            </w:r>
          </w:p>
          <w:p w14:paraId="54FDC83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лимиты остатков кассовой наличности, установленной для организации;</w:t>
            </w:r>
          </w:p>
          <w:p w14:paraId="26F6421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обеспечивать сохранность денежных средств;</w:t>
            </w:r>
          </w:p>
          <w:p w14:paraId="505245F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      </w:r>
          </w:p>
          <w:p w14:paraId="7F531E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заполнять формы кассовых и банковых документов;</w:t>
            </w:r>
          </w:p>
          <w:p w14:paraId="32BB56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организовывать документооборот;</w:t>
            </w:r>
          </w:p>
          <w:p w14:paraId="57F0BA1E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заносить данные по сгруппированным документам в регистры бухгалтерского учета;</w:t>
            </w:r>
          </w:p>
          <w:p w14:paraId="4920F52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исправлять ошибки в первичных бухгалтерских документах;</w:t>
            </w:r>
          </w:p>
          <w:p w14:paraId="1069B45C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оформлять денежные и кассовые документы;</w:t>
            </w:r>
          </w:p>
          <w:p w14:paraId="4238E312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кассовую книгу;</w:t>
            </w:r>
          </w:p>
          <w:p w14:paraId="1B6C057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1A1AEE4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передавать денежные средства инкассаторам;</w:t>
            </w:r>
          </w:p>
          <w:p w14:paraId="163465F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7338DA2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осуществлять подготовку ККТ различных видов к работе;</w:t>
            </w:r>
          </w:p>
          <w:p w14:paraId="6716A6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работать на ККТ различных видов;</w:t>
            </w:r>
          </w:p>
          <w:p w14:paraId="71E103E6" w14:textId="694DADAF" w:rsidR="00DB54F4" w:rsidRPr="00225812" w:rsidRDefault="00CE6CAE" w:rsidP="00225812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устранять мелкие неисправности при работе ККТ;</w:t>
            </w:r>
            <w:bookmarkEnd w:id="21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225812">
            <w:pPr>
              <w:tabs>
                <w:tab w:val="left" w:pos="300"/>
                <w:tab w:val="left" w:pos="468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85811E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нормативно-правовые акты, положения и инструкции по ведению кассовых операций; </w:t>
            </w:r>
          </w:p>
          <w:p w14:paraId="15B4ABA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обязательные реквизиты в первичных документах по кассе;</w:t>
            </w:r>
          </w:p>
          <w:p w14:paraId="4F2B125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426B958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группировку первичных бухгалтерских документов по ряду признаков;</w:t>
            </w:r>
          </w:p>
          <w:p w14:paraId="34545AE6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таксировку и котировку первичных бухгалтерских документов; </w:t>
            </w:r>
          </w:p>
          <w:p w14:paraId="232FF0E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правила ведения кассовой книги; </w:t>
            </w:r>
          </w:p>
          <w:p w14:paraId="01390B5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расчетов с подотчетными лицами, с персоналом по оплате труда; </w:t>
            </w:r>
          </w:p>
          <w:p w14:paraId="04739D2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порядок работы по безналичным расчетам; </w:t>
            </w:r>
          </w:p>
          <w:p w14:paraId="6261D27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работы с ККТ; </w:t>
            </w:r>
          </w:p>
          <w:p w14:paraId="5DD4F68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правила проведения инвентаризации кассы;</w:t>
            </w:r>
          </w:p>
          <w:p w14:paraId="4E01C5CC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оформление форм кассовых и банковских документов; </w:t>
            </w:r>
          </w:p>
          <w:p w14:paraId="350E0484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оформление операций с денежными средствами, ценными бумагами, бланками строгой отчетности;</w:t>
            </w:r>
          </w:p>
          <w:p w14:paraId="75D01AE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ведения кассовой книги;</w:t>
            </w:r>
          </w:p>
          <w:p w14:paraId="4BA455A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составления кассовой отчётности;</w:t>
            </w:r>
          </w:p>
          <w:p w14:paraId="7A75A8F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документы, регламентирующие применение ККТ;</w:t>
            </w:r>
          </w:p>
          <w:p w14:paraId="0EE04E1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типовые правила обслуживания эксплуатации ККТ и правила регистрации;</w:t>
            </w:r>
          </w:p>
          <w:p w14:paraId="4E20CF7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классификацию устройства ККТ;</w:t>
            </w:r>
          </w:p>
          <w:p w14:paraId="5BC35BB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основные режимы ККТ;</w:t>
            </w:r>
          </w:p>
          <w:p w14:paraId="41A488AD" w14:textId="72440370" w:rsidR="00DB54F4" w:rsidRPr="00823CC9" w:rsidRDefault="00225812" w:rsidP="00823CC9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особенности технического обслуживания ККТ.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2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F30679" w:rsidRPr="00D1015E" w14:paraId="4BC8CA0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8BA1BF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F30679" w:rsidRPr="00D1015E" w14:paraId="6564A6E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AED0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8092E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4832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81DA8F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EB7C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69A5351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894E8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4EF1E1E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27EA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169A5D3F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51459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5587ACE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7F53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08696BB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0026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2B5A714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55D85E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7AACC4A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8968C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F7445F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0EA6EB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2510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1BCFF48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5B2F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6B8358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441A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514F56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A7846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7F3461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7B12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558452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480A7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81152DA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1FC1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A3C552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4542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ED21C9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9B608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F30679" w:rsidRPr="00D1015E" w14:paraId="1ACB820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9EA924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F30679" w:rsidRPr="00D1015E" w14:paraId="081B4679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8FA8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BEC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A6B8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6C6BC5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F27D9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58B461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CD383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F30679" w:rsidRPr="00D1015E" w14:paraId="6B386A3F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496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ECC0A6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89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4A54FD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AB52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5CF5B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0BA5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F30679" w:rsidRPr="00D1015E" w14:paraId="654510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F54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DDE7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E63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8E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7D51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55C9C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115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683B5206" w:rsidR="00284B3A" w:rsidRDefault="00284B3A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C6A01F" w14:textId="77777777" w:rsidR="00284B3A" w:rsidRDefault="00284B3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154ED7A" w14:textId="77777777" w:rsidR="00284B3A" w:rsidRDefault="00284B3A" w:rsidP="00284B3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722732D7" w14:textId="77777777" w:rsidR="00284B3A" w:rsidRDefault="00284B3A" w:rsidP="00284B3A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284B3A" w14:paraId="18F323A1" w14:textId="77777777" w:rsidTr="00284B3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D653EB" w14:textId="77777777" w:rsidR="00284B3A" w:rsidRDefault="00284B3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0D5E5B48" w14:textId="77777777" w:rsidR="00284B3A" w:rsidRDefault="00284B3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E084C3" w14:textId="77777777" w:rsidR="00284B3A" w:rsidRDefault="00284B3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522219" w14:textId="77777777" w:rsidR="00284B3A" w:rsidRDefault="00284B3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284B3A" w14:paraId="0998BB6C" w14:textId="77777777" w:rsidTr="00284B3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AA856B" w14:textId="77777777" w:rsidR="00284B3A" w:rsidRDefault="00284B3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D40F9" w14:textId="77777777" w:rsidR="00284B3A" w:rsidRDefault="00284B3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4267E6" w14:textId="77777777" w:rsidR="00284B3A" w:rsidRDefault="00284B3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284B3A" w14:paraId="4AC7D05C" w14:textId="77777777" w:rsidTr="00284B3A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5AE20B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EA899" w14:textId="29182546" w:rsidR="00284B3A" w:rsidRDefault="00284B3A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Внесены изменения в 3.2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</w:t>
            </w:r>
            <w:r w:rsidRPr="00284B3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обеспечение обучения</w:t>
            </w:r>
            <w:r w:rsidRPr="00284B3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6BEF0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284B3A" w14:paraId="5373CC92" w14:textId="77777777" w:rsidTr="00284B3A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124B9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ABC1A" w14:textId="77777777" w:rsidR="00284B3A" w:rsidRDefault="00284B3A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04B1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284B3A" w14:paraId="354A03D2" w14:textId="77777777" w:rsidTr="00284B3A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BE7D0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8EA2E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CDBD3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284B3A" w14:paraId="24BEE57C" w14:textId="77777777" w:rsidTr="00284B3A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8164C8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43029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87721" w14:textId="77777777" w:rsidR="00284B3A" w:rsidRDefault="00284B3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4A769E3D" w14:textId="77777777" w:rsidR="00284B3A" w:rsidRDefault="00284B3A" w:rsidP="00284B3A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0C79A93" w14:textId="77777777" w:rsidR="0004149C" w:rsidRPr="0004149C" w:rsidRDefault="0004149C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1B649E31" w14:textId="77777777" w:rsidR="0004149C" w:rsidRDefault="0004149C" w:rsidP="0004149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1B08BB8A" w14:textId="77777777" w:rsidR="0004149C" w:rsidRDefault="0004149C" w:rsidP="0004149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5A16E4" w14:textId="77777777" w:rsidR="0004149C" w:rsidRDefault="0004149C" w:rsidP="0004149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04149C" w14:paraId="6305EEC1" w14:textId="77777777" w:rsidTr="0004149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A1E61E" w14:textId="77777777" w:rsidR="0004149C" w:rsidRDefault="0004149C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4149C" w14:paraId="737954F7" w14:textId="77777777" w:rsidTr="0004149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04149C" w14:paraId="4C3AEAF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A5447E" w14:textId="6C29A0B0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0FBC6601" wp14:editId="39E9AC62">
                        <wp:extent cx="381000" cy="381000"/>
                        <wp:effectExtent l="0" t="0" r="0" b="0"/>
                        <wp:docPr id="79765172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418291" w14:textId="77777777" w:rsidR="0004149C" w:rsidRDefault="0004149C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B55BE7C" w14:textId="77777777" w:rsidR="0004149C" w:rsidRDefault="0004149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4149C" w14:paraId="4EADB4AE" w14:textId="77777777" w:rsidTr="0004149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BD713C" w14:textId="77777777" w:rsidR="0004149C" w:rsidRDefault="0004149C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4149C" w14:paraId="1F9956E4" w14:textId="77777777" w:rsidTr="0004149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04149C" w14:paraId="11C2891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F965A7" w14:textId="77777777" w:rsidR="0004149C" w:rsidRDefault="0004149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BDADD5" w14:textId="77777777" w:rsidR="0004149C" w:rsidRDefault="0004149C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4149C" w14:paraId="20ADB99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12007C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A979AE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4149C" w14:paraId="49EAA05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B5A43B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6A4520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04149C" w14:paraId="5174581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16CB0E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78A591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4149C" w14:paraId="62E91C6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64F8FE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B12BC5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4149C" w14:paraId="70B72EA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F279CD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3768AB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4149C" w14:paraId="4822E11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84AD68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FD3D3C" w14:textId="77777777" w:rsidR="0004149C" w:rsidRDefault="0004149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18:04:52 UTC+05</w:t>
                  </w:r>
                </w:p>
              </w:tc>
            </w:tr>
          </w:tbl>
          <w:p w14:paraId="7D221555" w14:textId="77777777" w:rsidR="0004149C" w:rsidRDefault="0004149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8A729CA" w14:textId="77777777" w:rsidR="0004149C" w:rsidRDefault="0004149C" w:rsidP="0004149C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7B8D11E" w14:textId="390F69C9" w:rsidR="00D1015E" w:rsidRDefault="00D1015E" w:rsidP="0004149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03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8509" w14:textId="77777777" w:rsidR="00031C95" w:rsidRDefault="00031C95" w:rsidP="00AD1B26">
      <w:r>
        <w:separator/>
      </w:r>
    </w:p>
  </w:endnote>
  <w:endnote w:type="continuationSeparator" w:id="0">
    <w:p w14:paraId="44777762" w14:textId="77777777" w:rsidR="00031C95" w:rsidRDefault="00031C9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7C61" w14:textId="77777777" w:rsidR="0004149C" w:rsidRDefault="0004149C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22E7" w14:textId="77777777" w:rsidR="0004149C" w:rsidRDefault="0004149C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F1EB" w14:textId="77777777" w:rsidR="0004149C" w:rsidRDefault="0004149C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4EB8" w14:textId="77777777" w:rsidR="00031C95" w:rsidRDefault="00031C95"/>
  </w:footnote>
  <w:footnote w:type="continuationSeparator" w:id="0">
    <w:p w14:paraId="7BE17FF5" w14:textId="77777777" w:rsidR="00031C95" w:rsidRDefault="00031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8C69" w14:textId="77777777" w:rsidR="0004149C" w:rsidRDefault="0004149C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3241" w14:textId="2E12B4E8" w:rsidR="0004149C" w:rsidRDefault="0004149C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485B" w14:textId="77777777" w:rsidR="0004149C" w:rsidRDefault="0004149C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9203B7"/>
    <w:multiLevelType w:val="hybridMultilevel"/>
    <w:tmpl w:val="C644A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2"/>
  </w:num>
  <w:num w:numId="32" w16cid:durableId="1145707165">
    <w:abstractNumId w:val="20"/>
  </w:num>
  <w:num w:numId="33" w16cid:durableId="647789368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2790E"/>
    <w:rsid w:val="00030169"/>
    <w:rsid w:val="000306D7"/>
    <w:rsid w:val="00031C95"/>
    <w:rsid w:val="000344CF"/>
    <w:rsid w:val="0004149C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11A94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3250"/>
    <w:rsid w:val="002220AF"/>
    <w:rsid w:val="002249D7"/>
    <w:rsid w:val="00225812"/>
    <w:rsid w:val="00234DEE"/>
    <w:rsid w:val="00236E08"/>
    <w:rsid w:val="00237353"/>
    <w:rsid w:val="00257F93"/>
    <w:rsid w:val="00270329"/>
    <w:rsid w:val="002738C3"/>
    <w:rsid w:val="00274A79"/>
    <w:rsid w:val="00284B3A"/>
    <w:rsid w:val="002A6C8A"/>
    <w:rsid w:val="002B0450"/>
    <w:rsid w:val="002B6D4B"/>
    <w:rsid w:val="002C08D3"/>
    <w:rsid w:val="002C579C"/>
    <w:rsid w:val="002D21D4"/>
    <w:rsid w:val="002D7719"/>
    <w:rsid w:val="002D7AE2"/>
    <w:rsid w:val="002E4125"/>
    <w:rsid w:val="002E6DCD"/>
    <w:rsid w:val="002F0FC3"/>
    <w:rsid w:val="003024BD"/>
    <w:rsid w:val="00305910"/>
    <w:rsid w:val="00313BD1"/>
    <w:rsid w:val="0032272F"/>
    <w:rsid w:val="003341EB"/>
    <w:rsid w:val="00335F16"/>
    <w:rsid w:val="0034620E"/>
    <w:rsid w:val="00350BC1"/>
    <w:rsid w:val="00352078"/>
    <w:rsid w:val="003532B6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0CB7"/>
    <w:rsid w:val="00463590"/>
    <w:rsid w:val="00471C4C"/>
    <w:rsid w:val="00493995"/>
    <w:rsid w:val="004A0D1D"/>
    <w:rsid w:val="004A2682"/>
    <w:rsid w:val="004C2F6C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509A8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3034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616DE"/>
    <w:rsid w:val="0077030E"/>
    <w:rsid w:val="007737C0"/>
    <w:rsid w:val="00776F22"/>
    <w:rsid w:val="00777D79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3CC9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018DE"/>
    <w:rsid w:val="00B107DD"/>
    <w:rsid w:val="00B17436"/>
    <w:rsid w:val="00B24C44"/>
    <w:rsid w:val="00B25BA0"/>
    <w:rsid w:val="00B3088A"/>
    <w:rsid w:val="00B37580"/>
    <w:rsid w:val="00B435B3"/>
    <w:rsid w:val="00B47A20"/>
    <w:rsid w:val="00B55E6D"/>
    <w:rsid w:val="00B61B1B"/>
    <w:rsid w:val="00B701F5"/>
    <w:rsid w:val="00B70DBA"/>
    <w:rsid w:val="00B84338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344D"/>
    <w:rsid w:val="00CA7C33"/>
    <w:rsid w:val="00CB7B79"/>
    <w:rsid w:val="00CD2E10"/>
    <w:rsid w:val="00CE6CAE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667A6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77CEB"/>
    <w:rsid w:val="00E81F49"/>
    <w:rsid w:val="00EB1128"/>
    <w:rsid w:val="00EC6873"/>
    <w:rsid w:val="00ED0D1D"/>
    <w:rsid w:val="00ED3588"/>
    <w:rsid w:val="00EE6379"/>
    <w:rsid w:val="00EF5C27"/>
    <w:rsid w:val="00F03592"/>
    <w:rsid w:val="00F07C2D"/>
    <w:rsid w:val="00F21BAE"/>
    <w:rsid w:val="00F2388C"/>
    <w:rsid w:val="00F30679"/>
    <w:rsid w:val="00F51F89"/>
    <w:rsid w:val="00F56436"/>
    <w:rsid w:val="00F609C2"/>
    <w:rsid w:val="00F71B36"/>
    <w:rsid w:val="00F72C1E"/>
    <w:rsid w:val="00F7557F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5684</Words>
  <Characters>32405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2024-03-21T15:10:00Z</dcterms:created>
  <dcterms:modified xsi:type="dcterms:W3CDTF">2024-03-21T15:10:00Z</dcterms:modified>
</cp:coreProperties>
</file>